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1" w:name="_Toc135723956"/>
      <w:bookmarkStart w:id="2" w:name="_Toc135724856"/>
      <w:bookmarkStart w:id="3"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37ABB754" w:rsidR="00FF182D" w:rsidRPr="003023BA" w:rsidRDefault="00571D30"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t>
      </w:r>
      <w:r w:rsidR="00FF182D" w:rsidRPr="003023BA">
        <w:rPr>
          <w:rFonts w:eastAsiaTheme="majorEastAsia"/>
        </w:rPr>
        <w:t>We shall fully cooperate with individual requests that are necessary to ensure organisational compliance, such as disclosure and barring checks.</w:t>
      </w:r>
    </w:p>
    <w:p w14:paraId="0A7BD54E"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work collectively for the benefit of the school.</w:t>
      </w:r>
    </w:p>
    <w:p w14:paraId="4BB2D525"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be candid but constructive and respectful when holding senior leaders to account.</w:t>
      </w:r>
    </w:p>
    <w:p w14:paraId="26A7D50B"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consider how our decisions may affect the school and local community.</w:t>
      </w:r>
    </w:p>
    <w:p w14:paraId="0FA4D05B"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stand by the decisions that we make as a collective.</w:t>
      </w:r>
    </w:p>
    <w:p w14:paraId="40D9DFDE"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only speak or act on behalf of the board if we have the authority to do so.</w:t>
      </w:r>
    </w:p>
    <w:p w14:paraId="76D9E32B" w14:textId="0CAA22FF" w:rsidR="00FF182D" w:rsidRPr="003023BA" w:rsidRDefault="007344AF"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t>
      </w:r>
      <w:r w:rsidRPr="003023BA">
        <w:rPr>
          <w:rStyle w:val="ui-provider"/>
        </w:rPr>
        <w:t>We will fulfil our responsibilities to school staff, ensuring a safe working environment</w:t>
      </w:r>
      <w:r w:rsidR="00C3358F" w:rsidRPr="003023BA">
        <w:rPr>
          <w:rStyle w:val="ui-provider"/>
        </w:rPr>
        <w:t>,</w:t>
      </w:r>
      <w:r w:rsidRPr="003023BA">
        <w:rPr>
          <w:rStyle w:val="ui-provider"/>
        </w:rPr>
        <w:t xml:space="preserve"> support for their wellbeing,</w:t>
      </w:r>
      <w:r w:rsidR="00C3358F" w:rsidRPr="003023BA">
        <w:rPr>
          <w:rStyle w:val="ui-provider"/>
        </w:rPr>
        <w:t xml:space="preserve"> and</w:t>
      </w:r>
      <w:r w:rsidRPr="003023BA">
        <w:rPr>
          <w:rStyle w:val="ui-provider"/>
        </w:rPr>
        <w:t xml:space="preserve"> acting fairly and without bias.</w:t>
      </w:r>
    </w:p>
    <w:p w14:paraId="1FECE23C"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When making or responding to complaints we will follow the established procedures.</w:t>
      </w:r>
    </w:p>
    <w:p w14:paraId="5DAFCF51" w14:textId="77777777" w:rsidR="00FF182D" w:rsidRPr="003023BA"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3023BA">
        <w:rPr>
          <w:rFonts w:eastAsiaTheme="majorEastAsia"/>
        </w:rPr>
        <w:t xml:space="preserve">We will have regard to our responsibilities under </w:t>
      </w:r>
      <w:hyperlink r:id="rId17" w:history="1">
        <w:r w:rsidRPr="003023BA">
          <w:rPr>
            <w:rStyle w:val="Hyperlink"/>
            <w:bCs/>
          </w:rPr>
          <w:t>The Equality Act</w:t>
        </w:r>
      </w:hyperlink>
      <w:r w:rsidRPr="003023BA">
        <w:rPr>
          <w:rFonts w:eastAsiaTheme="majorEastAsia"/>
        </w:rPr>
        <w:t xml:space="preserve"> and will work to advance</w:t>
      </w:r>
      <w:r w:rsidRPr="004D4841">
        <w:rPr>
          <w:rFonts w:eastAsiaTheme="majorEastAsia"/>
        </w:rPr>
        <w:t xml:space="preserv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3023BA" w:rsidRDefault="00DB0348" w:rsidP="00D223B3">
      <w:pPr>
        <w:pStyle w:val="Bodytextbullets"/>
        <w:numPr>
          <w:ilvl w:val="0"/>
          <w:numId w:val="26"/>
        </w:numPr>
        <w:spacing w:before="80" w:after="80" w:line="252" w:lineRule="auto"/>
        <w:ind w:left="357" w:hanging="357"/>
        <w:rPr>
          <w:rFonts w:eastAsiaTheme="majorEastAsia"/>
        </w:rPr>
      </w:pPr>
      <w:r w:rsidRPr="003023BA">
        <w:rPr>
          <w:rFonts w:eastAsiaTheme="majorEastAsia"/>
        </w:rPr>
        <w:t>*</w:t>
      </w:r>
      <w:r w:rsidR="00FF182D" w:rsidRPr="003023BA">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023BA" w:rsidRDefault="00FF182D" w:rsidP="0032551F">
      <w:pPr>
        <w:pStyle w:val="Heading3"/>
        <w:spacing w:before="120" w:after="40"/>
        <w:rPr>
          <w:b w:val="0"/>
          <w:bCs/>
          <w:sz w:val="32"/>
          <w:szCs w:val="22"/>
        </w:rPr>
      </w:pPr>
      <w:r w:rsidRPr="003023BA">
        <w:rPr>
          <w:b w:val="0"/>
          <w:bCs/>
          <w:sz w:val="32"/>
          <w:szCs w:val="22"/>
        </w:rPr>
        <w:t xml:space="preserve">Build and maintain relationships </w:t>
      </w:r>
    </w:p>
    <w:p w14:paraId="6F138856" w14:textId="150595C8" w:rsidR="00FF182D" w:rsidRPr="003023BA" w:rsidRDefault="00FF182D" w:rsidP="00D223B3">
      <w:pPr>
        <w:pStyle w:val="Bodytextbullets"/>
        <w:numPr>
          <w:ilvl w:val="0"/>
          <w:numId w:val="28"/>
        </w:numPr>
        <w:spacing w:before="80" w:after="60"/>
        <w:ind w:left="357" w:hanging="357"/>
        <w:rPr>
          <w:rFonts w:eastAsiaTheme="majorEastAsia"/>
        </w:rPr>
      </w:pPr>
      <w:r w:rsidRPr="003023BA">
        <w:rPr>
          <w:rFonts w:eastAsiaTheme="majorEastAsia"/>
        </w:rPr>
        <w:t>We will develop effective working relationships with school leaders, staff, parents and other relevant stakeholders from our local community.</w:t>
      </w:r>
    </w:p>
    <w:p w14:paraId="657F1FF4" w14:textId="355794D4" w:rsidR="00FF182D" w:rsidRPr="003023BA" w:rsidRDefault="0073792E" w:rsidP="00D223B3">
      <w:pPr>
        <w:pStyle w:val="Bodytextbullets"/>
        <w:numPr>
          <w:ilvl w:val="0"/>
          <w:numId w:val="28"/>
        </w:numPr>
        <w:spacing w:before="80" w:after="60"/>
        <w:ind w:left="357" w:hanging="357"/>
        <w:rPr>
          <w:rFonts w:eastAsiaTheme="majorEastAsia"/>
        </w:rPr>
      </w:pPr>
      <w:r w:rsidRPr="003023BA">
        <w:rPr>
          <w:rFonts w:eastAsiaTheme="majorEastAsia"/>
        </w:rPr>
        <w:lastRenderedPageBreak/>
        <w:t>*</w:t>
      </w:r>
      <w:r w:rsidR="00FF182D" w:rsidRPr="003023BA">
        <w:rPr>
          <w:rFonts w:eastAsiaTheme="majorEastAsia"/>
        </w:rPr>
        <w:t>We will respect the remit of</w:t>
      </w:r>
      <w:r w:rsidR="00F81104" w:rsidRPr="003023BA">
        <w:rPr>
          <w:rFonts w:eastAsiaTheme="majorEastAsia"/>
        </w:rPr>
        <w:t>,</w:t>
      </w:r>
      <w:r w:rsidR="00FF182D" w:rsidRPr="003023BA">
        <w:rPr>
          <w:rFonts w:eastAsiaTheme="majorEastAsia"/>
        </w:rPr>
        <w:t xml:space="preserve"> and engage constructively with</w:t>
      </w:r>
      <w:r w:rsidR="00F81104" w:rsidRPr="003023BA">
        <w:rPr>
          <w:rFonts w:eastAsiaTheme="majorEastAsia"/>
        </w:rPr>
        <w:t>,</w:t>
      </w:r>
      <w:r w:rsidR="00FF182D" w:rsidRPr="003023BA">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7632EF">
      <w:pPr>
        <w:pStyle w:val="Bodytext1"/>
        <w:spacing w:after="280"/>
      </w:pPr>
      <w:bookmarkStart w:id="4" w:name="_Hlk47360994"/>
      <w:r w:rsidRPr="00E354D2">
        <w:t>We understand that potential or perceived breaches of this code will be taken seriously and that a breach could lead to formal sanctions.</w:t>
      </w:r>
      <w:bookmarkEnd w:id="4"/>
    </w:p>
    <w:p w14:paraId="14F5BE00" w14:textId="3C104BBF"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3023BA">
        <w:t xml:space="preserve">Swain House Governing </w:t>
      </w:r>
      <w:r w:rsidR="003023BA" w:rsidRPr="003023BA">
        <w:t>Body</w:t>
      </w:r>
      <w:r w:rsidRPr="003023BA">
        <w:t xml:space="preserve"> on </w:t>
      </w:r>
      <w:r w:rsidR="003023BA" w:rsidRPr="003023BA">
        <w:t>05.10.2023</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sidR="002810A5">
        <w:rPr>
          <w:b/>
        </w:rPr>
        <w:tab/>
      </w:r>
      <w:r w:rsidR="002810A5" w:rsidRPr="002810A5">
        <w:t>Craig Pounder</w:t>
      </w:r>
      <w:r w:rsidRPr="002810A5">
        <w:tab/>
      </w:r>
      <w:r w:rsidR="003023BA" w:rsidRPr="003023BA">
        <w:rPr>
          <w:rFonts w:eastAsia="Times New Roman"/>
          <w:lang w:val="en-GB"/>
        </w:rPr>
        <w:t>[Chair of Governors</w:t>
      </w:r>
      <w:r w:rsidRPr="003023BA">
        <w:rPr>
          <w:rFonts w:eastAsia="Times New Roman"/>
          <w:lang w:val="en-GB"/>
        </w:rPr>
        <w:t>]</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w:t>
      </w:r>
      <w:bookmarkStart w:id="5" w:name="_GoBack"/>
      <w:bookmarkEnd w:id="5"/>
      <w:r w:rsidRPr="009F69AF">
        <w:rPr>
          <w:sz w:val="20"/>
          <w:szCs w:val="20"/>
        </w:rPr>
        <w:t>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AD846" w14:textId="77777777" w:rsidR="005D2527" w:rsidRDefault="005D2527" w:rsidP="00AD32FB">
      <w:pPr>
        <w:spacing w:after="0" w:line="240" w:lineRule="auto"/>
      </w:pPr>
      <w:r>
        <w:separator/>
      </w:r>
    </w:p>
  </w:endnote>
  <w:endnote w:type="continuationSeparator" w:id="0">
    <w:p w14:paraId="39EBF2F6" w14:textId="77777777" w:rsidR="005D2527" w:rsidRDefault="005D2527" w:rsidP="00AD32FB">
      <w:pPr>
        <w:spacing w:after="0" w:line="240" w:lineRule="auto"/>
      </w:pPr>
      <w:r>
        <w:continuationSeparator/>
      </w:r>
    </w:p>
  </w:endnote>
  <w:endnote w:type="continuationNotice" w:id="1">
    <w:p w14:paraId="1667695F" w14:textId="77777777" w:rsidR="005D2527" w:rsidRDefault="005D2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2C193DF8"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2D03C5DE"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2810A5">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2D03C5DE"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2810A5">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2810A5">
      <w:rPr>
        <w:noProof/>
        <w:color w:val="00407B"/>
        <w:sz w:val="20"/>
        <w:szCs w:val="20"/>
      </w:rPr>
      <w:t>4</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lang w:val="en-GB" w:eastAsia="en-GB"/>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C3BAB" w14:textId="77777777" w:rsidR="005D2527" w:rsidRDefault="005D2527" w:rsidP="00AD32FB">
      <w:pPr>
        <w:spacing w:after="0" w:line="240" w:lineRule="auto"/>
      </w:pPr>
      <w:r>
        <w:separator/>
      </w:r>
    </w:p>
  </w:footnote>
  <w:footnote w:type="continuationSeparator" w:id="0">
    <w:p w14:paraId="56F646C2" w14:textId="77777777" w:rsidR="005D2527" w:rsidRDefault="005D2527" w:rsidP="00AD32FB">
      <w:pPr>
        <w:spacing w:after="0" w:line="240" w:lineRule="auto"/>
      </w:pPr>
      <w:r>
        <w:continuationSeparator/>
      </w:r>
    </w:p>
  </w:footnote>
  <w:footnote w:type="continuationNotice" w:id="1">
    <w:p w14:paraId="09015D96" w14:textId="77777777" w:rsidR="005D2527" w:rsidRDefault="005D25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99A467"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86"/>
    <w:rsid w:val="001E35B4"/>
    <w:rsid w:val="001F1370"/>
    <w:rsid w:val="001F5BE9"/>
    <w:rsid w:val="00207EDA"/>
    <w:rsid w:val="002118F6"/>
    <w:rsid w:val="00226E75"/>
    <w:rsid w:val="0023062D"/>
    <w:rsid w:val="00243573"/>
    <w:rsid w:val="00243F8D"/>
    <w:rsid w:val="0024744A"/>
    <w:rsid w:val="0027247E"/>
    <w:rsid w:val="002740B0"/>
    <w:rsid w:val="002810A5"/>
    <w:rsid w:val="002911F1"/>
    <w:rsid w:val="002A22C7"/>
    <w:rsid w:val="002B0AA8"/>
    <w:rsid w:val="002C3625"/>
    <w:rsid w:val="002F61F4"/>
    <w:rsid w:val="003023BA"/>
    <w:rsid w:val="0030306C"/>
    <w:rsid w:val="00314779"/>
    <w:rsid w:val="0032551F"/>
    <w:rsid w:val="00333061"/>
    <w:rsid w:val="00340765"/>
    <w:rsid w:val="0034188B"/>
    <w:rsid w:val="00342DE4"/>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2C41"/>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B32"/>
    <w:rsid w:val="005D2527"/>
    <w:rsid w:val="005D77DE"/>
    <w:rsid w:val="005E57E3"/>
    <w:rsid w:val="005E6E5F"/>
    <w:rsid w:val="0061046D"/>
    <w:rsid w:val="00621501"/>
    <w:rsid w:val="00626F9A"/>
    <w:rsid w:val="006362FA"/>
    <w:rsid w:val="00670EA7"/>
    <w:rsid w:val="006818BF"/>
    <w:rsid w:val="00681F36"/>
    <w:rsid w:val="00682B17"/>
    <w:rsid w:val="006C14E1"/>
    <w:rsid w:val="006C7222"/>
    <w:rsid w:val="006D6674"/>
    <w:rsid w:val="006D66B9"/>
    <w:rsid w:val="006D6883"/>
    <w:rsid w:val="006D6FF6"/>
    <w:rsid w:val="006F5DE3"/>
    <w:rsid w:val="00706736"/>
    <w:rsid w:val="00726F25"/>
    <w:rsid w:val="007344AF"/>
    <w:rsid w:val="007371C1"/>
    <w:rsid w:val="0073792E"/>
    <w:rsid w:val="007500A6"/>
    <w:rsid w:val="007632EF"/>
    <w:rsid w:val="0077570A"/>
    <w:rsid w:val="007949C3"/>
    <w:rsid w:val="00795EBC"/>
    <w:rsid w:val="007A02B5"/>
    <w:rsid w:val="007B4CA7"/>
    <w:rsid w:val="007B7ACF"/>
    <w:rsid w:val="007D13D8"/>
    <w:rsid w:val="007D69A5"/>
    <w:rsid w:val="007F2368"/>
    <w:rsid w:val="007F27E2"/>
    <w:rsid w:val="007F504E"/>
    <w:rsid w:val="0080174C"/>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3ABD"/>
    <w:rsid w:val="00D74769"/>
    <w:rsid w:val="00D74FA6"/>
    <w:rsid w:val="00D9070A"/>
    <w:rsid w:val="00DA1DD8"/>
    <w:rsid w:val="00DA406F"/>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210B59C7-DF2D-4470-87CD-05ADDAE3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Clare Pugh</cp:lastModifiedBy>
  <cp:revision>4</cp:revision>
  <cp:lastPrinted>2023-10-20T06:59:00Z</cp:lastPrinted>
  <dcterms:created xsi:type="dcterms:W3CDTF">2023-09-21T10:51:00Z</dcterms:created>
  <dcterms:modified xsi:type="dcterms:W3CDTF">2023-10-20T07:00:00Z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