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4D33C9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EC5249" w:rsidRDefault="00EC5249" w:rsidP="00EC524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C5249">
              <w:rPr>
                <w:rFonts w:ascii="Letter-join Plus 34" w:hAnsi="Letter-join Plus 34"/>
                <w:sz w:val="24"/>
                <w:szCs w:val="24"/>
              </w:rPr>
              <w:t xml:space="preserve">Recognising and celebrating difference </w:t>
            </w:r>
          </w:p>
          <w:p w:rsidR="00EC5249" w:rsidRPr="00EC5249" w:rsidRDefault="00EC5249" w:rsidP="00EC524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C5249">
              <w:rPr>
                <w:rFonts w:ascii="Letter-join Plus 34" w:hAnsi="Letter-join Plus 34"/>
                <w:sz w:val="24"/>
                <w:szCs w:val="24"/>
              </w:rPr>
              <w:t xml:space="preserve">Recognising and reflecting on prejudice-based bullying </w:t>
            </w:r>
          </w:p>
          <w:p w:rsidR="00EC5249" w:rsidRPr="00EC5249" w:rsidRDefault="00EC5249" w:rsidP="00EC524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Understanding b</w:t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 xml:space="preserve">ystander behaviour </w:t>
            </w:r>
          </w:p>
          <w:p w:rsidR="009F7E5F" w:rsidRPr="00615D37" w:rsidRDefault="00EC5249" w:rsidP="00EC5249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EC5249">
              <w:rPr>
                <w:rFonts w:ascii="Letter-join Plus 34" w:hAnsi="Letter-join Plus 34"/>
                <w:sz w:val="24"/>
                <w:szCs w:val="24"/>
              </w:rPr>
              <w:t>Gender stereotyping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EC5249" w:rsidP="00EC5249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Witness, point of view, relationships, </w:t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>stereotype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bystander, diversity, cultural norms, identity, friend, </w:t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>gend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er stereotype, biological sex, respect, prejudice, acquaintance, media influence, positive feedback, sexual orientation, disrespect, respect, assumption, confidence, gender identity, body language, diversity, self-esteem, gender expression, empathy, tolerance, </w:t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>stereotype</w:t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EC5249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DA6698" w:rsidRPr="00DA6698" w:rsidRDefault="00DA6698" w:rsidP="00DA669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DA6698">
              <w:rPr>
                <w:rFonts w:ascii="Letter-join Plus 34" w:hAnsi="Letter-join Plus 34"/>
                <w:sz w:val="24"/>
                <w:szCs w:val="24"/>
              </w:rPr>
              <w:t>bullying and th</w:t>
            </w:r>
            <w:bookmarkStart w:id="0" w:name="_GoBack"/>
            <w:bookmarkEnd w:id="0"/>
            <w:r w:rsidRPr="00DA6698">
              <w:rPr>
                <w:rFonts w:ascii="Letter-join Plus 34" w:hAnsi="Letter-join Plus 34"/>
                <w:sz w:val="24"/>
                <w:szCs w:val="24"/>
              </w:rPr>
              <w:t>at some bullying occurs because of people’s differences</w:t>
            </w:r>
          </w:p>
          <w:p w:rsidR="00DA6698" w:rsidRPr="00DA6698" w:rsidRDefault="00DA6698" w:rsidP="00DA6698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DA6698">
              <w:rPr>
                <w:rFonts w:ascii="Letter-join Plus 34" w:hAnsi="Letter-join Plus 34"/>
                <w:sz w:val="24"/>
                <w:szCs w:val="24"/>
              </w:rPr>
              <w:t>the word prejudice and the benefits of living in a diverse society</w:t>
            </w:r>
          </w:p>
          <w:p w:rsidR="00DA6698" w:rsidRPr="00DA6698" w:rsidRDefault="00DA6698" w:rsidP="00DA6698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DA6698">
              <w:rPr>
                <w:rFonts w:ascii="Letter-join Plus 34" w:hAnsi="Letter-join Plus 34"/>
                <w:sz w:val="24"/>
                <w:szCs w:val="24"/>
              </w:rPr>
              <w:t>the importance of different faiths</w:t>
            </w:r>
          </w:p>
          <w:p w:rsidR="00615D37" w:rsidRPr="00DA6698" w:rsidRDefault="00DA6698" w:rsidP="00DA6698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DA6698">
              <w:rPr>
                <w:rFonts w:ascii="Letter-join Plus 34" w:hAnsi="Letter-join Plus 34"/>
                <w:sz w:val="24"/>
                <w:szCs w:val="24"/>
              </w:rPr>
              <w:t xml:space="preserve">the benefits of different relationships – parent, neighbours and relatives  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2D1108"/>
    <w:rsid w:val="00313728"/>
    <w:rsid w:val="004D33C9"/>
    <w:rsid w:val="00550336"/>
    <w:rsid w:val="00615D37"/>
    <w:rsid w:val="00627D82"/>
    <w:rsid w:val="00811853"/>
    <w:rsid w:val="009C0850"/>
    <w:rsid w:val="009F7E5F"/>
    <w:rsid w:val="00AA07FF"/>
    <w:rsid w:val="00AE4BB4"/>
    <w:rsid w:val="00DA6698"/>
    <w:rsid w:val="00DD35F5"/>
    <w:rsid w:val="00E37F94"/>
    <w:rsid w:val="00EC5249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098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2021-11-01T08:37:00Z</dcterms:created>
  <dcterms:modified xsi:type="dcterms:W3CDTF">2021-11-01T08:59:00Z</dcterms:modified>
</cp:coreProperties>
</file>